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2.png" ContentType="image/png"/>
  <Override PartName="/word/media/rId24.png" ContentType="image/png"/>
  <Override PartName="/word/media/rId26.png" ContentType="image/png"/>
  <Override PartName="/word/media/rId28.png" ContentType="image/png"/>
  <Override PartName="/word/media/rId32.png" ContentType="image/png"/>
  <Override PartName="/word/media/rId34.png" ContentType="image/png"/>
  <Override PartName="/word/media/rId36.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Override PartName="/word/media/rId39.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r>
        <w:t xml:space="preserve"> </w:t>
      </w:r>
      <w:r>
        <w:t xml:space="preserve">(IECA 2009)</w:t>
      </w:r>
      <w:r>
        <w:t xml:space="preserve">.</w:t>
      </w:r>
    </w:p>
    <w:p>
      <w:pPr>
        <w:pStyle w:val="Textodecuerpo"/>
      </w:pP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5049471" cy="714375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t xml:space="preserve">EVI standardized anomaly during the period 2000-2016 for northern and southern populations. Error bars show standard error. See main text for details on EVI calculation.</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1.png" id="0" name="Picture"/>
                    <pic:cNvPicPr>
                      <a:picLocks noChangeArrowheads="1" noChangeAspect="1"/>
                    </pic:cNvPicPr>
                  </pic:nvPicPr>
                  <pic:blipFill>
                    <a:blip r:embed="rId2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t xml:space="preserve">Percentage of pixels showing browning, greenning or no-changes during the 2005 and 2012 drought events according to EVI standardized anomalies. See main text for an explanation of greenning and browning.</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24-1.png" id="0" name="Picture"/>
                    <pic:cNvPicPr>
                      <a:picLocks noChangeArrowheads="1" noChangeAspect="1"/>
                    </pic:cNvPicPr>
                  </pic:nvPicPr>
                  <pic:blipFill>
                    <a:blip r:embed="rId2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orange</w:t>
      </w:r>
      <w:r>
        <w:t xml:space="preserve">) and southern ones: low-elevation (CA-Low;</w:t>
      </w:r>
      <w:r>
        <w:t xml:space="preserve"> </w:t>
      </w:r>
      <w:r>
        <w:rPr>
          <w:i/>
        </w:rPr>
        <w:t xml:space="preserve">blue</w:t>
      </w:r>
      <w:r>
        <w:t xml:space="preserve">) and high-elevation (CA-High,</w:t>
      </w:r>
      <w:r>
        <w:t xml:space="preserve"> </w:t>
      </w:r>
      <w:r>
        <w:rPr>
          <w:i/>
        </w:rPr>
        <w:t xml:space="preserve">black</w:t>
      </w:r>
      <w:r>
        <w:t xml:space="preserve">) sites. Shading areas correspond to standard error of the mean. Number of series are displayed in the upper plot. We only show years replicated with # series &gt; 5. Linear trends since 1975 are shown all sites (numbers indicate</w:t>
      </w:r>
      <w:r>
        <w:t xml:space="preserve"> </w:t>
      </w:r>
      <m:oMath>
        <m:sSup>
          <m:e>
            <m:r>
              <m:t>r</m:t>
            </m:r>
          </m:e>
          <m:sup>
            <m:r>
              <m:t>2</m:t>
            </m:r>
          </m:sup>
        </m:sSup>
      </m:oMath>
      <w:r>
        <w:t xml:space="preserve"> </w:t>
      </w:r>
      <w:r>
        <w:t xml:space="preserve">values; asterisks indicate significant linear trend,</w:t>
      </w:r>
      <w:r>
        <w:t xml:space="preserve"> </w:t>
      </w:r>
      <w:r>
        <w:rPr>
          <w:i/>
        </w:rPr>
        <w:t xml:space="preserve">p &lt; 0.001</w:t>
      </w:r>
      <w:r>
        <w:t xml:space="preserve">).</w:t>
      </w:r>
    </w:p>
    <w:p>
      <w:pPr>
        <w:pStyle w:val="Textodecuerpo"/>
      </w:pPr>
      <w:r>
        <w:drawing>
          <wp:inline>
            <wp:extent cx="6324600" cy="4517571"/>
            <wp:effectExtent b="0" l="0" r="0" t="0"/>
            <wp:docPr descr="" title="" id="1" name="Picture"/>
            <a:graphic>
              <a:graphicData uri="http://schemas.openxmlformats.org/drawingml/2006/picture">
                <pic:pic>
                  <pic:nvPicPr>
                    <pic:cNvPr descr="0_figures_files/figure-docx/out_plot-28-1.png" id="0" name="Picture"/>
                    <pic:cNvPicPr>
                      <a:picLocks noChangeArrowheads="1" noChangeAspect="1"/>
                    </pic:cNvPicPr>
                  </pic:nvPicPr>
                  <pic:blipFill>
                    <a:blip r:embed="rId26"/>
                    <a:stretch>
                      <a:fillRect/>
                    </a:stretch>
                  </pic:blipFill>
                  <pic:spPr bwMode="auto">
                    <a:xfrm>
                      <a:off x="0" y="0"/>
                      <a:ext cx="6324600" cy="4517571"/>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5.</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 Note that y-axes do not correspond in all of the three panels for the sake of clarity.</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1.png" id="0" name="Picture"/>
                    <pic:cNvPicPr>
                      <a:picLocks noChangeArrowheads="1" noChangeAspect="1"/>
                    </pic:cNvPicPr>
                  </pic:nvPicPr>
                  <pic:blipFill>
                    <a:blip r:embed="rId28"/>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9" w:name="section-4"/>
      <w:bookmarkEnd w:id="29"/>
    </w:p>
    <w:p>
      <w:pPr>
        <w:pStyle w:val="FirstParagraph"/>
      </w:pPr>
      <w:r>
        <w:rPr>
          <w:b/>
        </w:rPr>
        <w:t xml:space="preserve">Figure 6.</w:t>
      </w:r>
      <w:r>
        <w:t xml:space="preserve"> </w:t>
      </w:r>
      <w:r>
        <w:t xml:space="preserve">Resilience metrics of the tree-growth for the most severe drought events (as from Table S3).</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average of resilience metrics for all populations. Error bar corresponds standard error. Resilience metrics were computed for each population (sample depth &gt; 10) and drought event.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unnamed-chunk-44-1.png" id="0" name="Picture"/>
                    <pic:cNvPicPr>
                      <a:picLocks noChangeArrowheads="1" noChangeAspect="1"/>
                    </pic:cNvPicPr>
                  </pic:nvPicPr>
                  <pic:blipFill>
                    <a:blip r:embed="rId30"/>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31" w:name="section-5"/>
      <w:bookmarkEnd w:id="31"/>
    </w:p>
    <w:p>
      <w:pPr>
        <w:pStyle w:val="FirstParagraph"/>
      </w:pPr>
      <w:r>
        <w:rPr>
          <w:b/>
        </w:rPr>
        <w:t xml:space="preserve">Figure 7.</w:t>
      </w:r>
      <w:r>
        <w:t xml:space="preserve"> </w:t>
      </w:r>
      <w:r>
        <w:t xml:space="preserve">Response</w:t>
      </w:r>
      <w:r>
        <w:t xml:space="preserve"> </w:t>
      </w:r>
      <w:r>
        <w:rPr>
          <w:i/>
        </w:rPr>
        <w:t xml:space="preserve">Q. pyrenaica</w:t>
      </w:r>
      <w:r>
        <w:t xml:space="preserve"> </w:t>
      </w:r>
      <w:r>
        <w:t xml:space="preserve">forests to drought in terms of resistance, recovery and resilience of greenness (EVI; left-plots) and tree growth (BAI; right-plots) for the years 2005 and 2012. For EVI we compared northern populations (</w:t>
      </w:r>
      <w:r>
        <w:rPr>
          <w:i/>
        </w:rPr>
        <w:t xml:space="preserve">black fill circle</w:t>
      </w:r>
      <w:r>
        <w:t xml:space="preserve">) with southern ones (</w:t>
      </w:r>
      <w:r>
        <w:rPr>
          <w:i/>
        </w:rPr>
        <w:t xml:space="preserve">blue empty circle</w:t>
      </w:r>
      <w:r>
        <w:t xml:space="preserve">). For BAI we compared the northern population (San Juan, SJ;</w:t>
      </w:r>
      <w:r>
        <w:t xml:space="preserve"> </w:t>
      </w:r>
      <w:r>
        <w:rPr>
          <w:i/>
        </w:rPr>
        <w:t xml:space="preserve">black triangle</w:t>
      </w:r>
      <w:r>
        <w:t xml:space="preserve">) with the two southerns populations: Cáñar-High (CA-High;</w:t>
      </w:r>
      <w:r>
        <w:t xml:space="preserve"> </w:t>
      </w:r>
      <w:r>
        <w:rPr>
          <w:i/>
        </w:rPr>
        <w:t xml:space="preserve">blue empty squares</w:t>
      </w:r>
      <w:r>
        <w:t xml:space="preserve">) and Cáñar-Low (CA-Low;</w:t>
      </w:r>
      <w:r>
        <w:t xml:space="preserve"> </w:t>
      </w:r>
      <w:r>
        <w:rPr>
          <w:i/>
        </w:rPr>
        <w:t xml:space="preserve">blue fill squares</w:t>
      </w:r>
      <w:r>
        <w:t xml:space="preserve">). Different letters above error bars indicate significant</w:t>
      </w:r>
      <w:r>
        <w:t xml:space="preserve"> </w:t>
      </w:r>
      <w:r>
        <w:rPr>
          <w:i/>
        </w:rPr>
        <w:t xml:space="preserve">post hoc</w:t>
      </w:r>
      <w:r>
        <w:t xml:space="preserve"> </w:t>
      </w:r>
      <w:r>
        <w:t xml:space="preserve">differences between groups (see material and methods).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49-1.png" id="0" name="Picture"/>
                    <pic:cNvPicPr>
                      <a:picLocks noChangeArrowheads="1" noChangeAspect="1"/>
                    </pic:cNvPicPr>
                  </pic:nvPicPr>
                  <pic:blipFill>
                    <a:blip r:embed="rId3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3" w:name="section-6"/>
      <w:bookmarkEnd w:id="33"/>
    </w:p>
    <w:p>
      <w:pPr>
        <w:pStyle w:val="FirstParagraph"/>
      </w:pPr>
      <w:r>
        <w:rPr>
          <w:b/>
        </w:rPr>
        <w:t xml:space="preserve">Figure 8.</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and 6-month SPEI (a), minimun (b) and maximun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54-1.png" id="0" name="Picture"/>
                    <pic:cNvPicPr>
                      <a:picLocks noChangeArrowheads="1" noChangeAspect="1"/>
                    </pic:cNvPicPr>
                  </pic:nvPicPr>
                  <pic:blipFill>
                    <a:blip r:embed="rId3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5" w:name="section-7"/>
      <w:bookmarkEnd w:id="35"/>
    </w:p>
    <w:p>
      <w:pPr>
        <w:pStyle w:val="FirstParagraph"/>
      </w:pPr>
      <w:r>
        <w:rPr>
          <w:b/>
        </w:rPr>
        <w:t xml:space="preserve">Figure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the whole period (584.9060741 mm).</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p>
    <w:p>
      <w:pPr>
        <w:pStyle w:val="Textodecuerpo"/>
      </w:pPr>
      <w:r>
        <w:drawing>
          <wp:inline>
            <wp:extent cx="6324600" cy="3614057"/>
            <wp:effectExtent b="0" l="0" r="0" t="0"/>
            <wp:docPr descr="" title="" id="1" name="Picture"/>
            <a:graphic>
              <a:graphicData uri="http://schemas.openxmlformats.org/drawingml/2006/picture">
                <pic:pic>
                  <pic:nvPicPr>
                    <pic:cNvPr descr="0_figures_files/figure-docx/plot_out-59-1.png" id="0" name="Picture"/>
                    <pic:cNvPicPr>
                      <a:picLocks noChangeArrowheads="1" noChangeAspect="1"/>
                    </pic:cNvPicPr>
                  </pic:nvPicPr>
                  <pic:blipFill>
                    <a:blip r:embed="rId36"/>
                    <a:stretch>
                      <a:fillRect/>
                    </a:stretch>
                  </pic:blipFill>
                  <pic:spPr bwMode="auto">
                    <a:xfrm>
                      <a:off x="0" y="0"/>
                      <a:ext cx="6324600" cy="3614057"/>
                    </a:xfrm>
                    <a:prstGeom prst="rect">
                      <a:avLst/>
                    </a:prstGeom>
                    <a:noFill/>
                    <a:ln w="9525">
                      <a:noFill/>
                      <a:headEnd/>
                      <a:tailEnd/>
                    </a:ln>
                  </pic:spPr>
                </pic:pic>
              </a:graphicData>
            </a:graphic>
          </wp:inline>
        </w:drawing>
      </w:r>
    </w:p>
    <w:p>
      <w:pPr>
        <w:pStyle w:val="Ttulo5"/>
      </w:pPr>
      <w:bookmarkStart w:id="37" w:name="section-8"/>
      <w:bookmarkEnd w:id="37"/>
    </w:p>
    <w:p>
      <w:pPr>
        <w:pStyle w:val="FirstParagraph"/>
      </w:pPr>
      <w:r>
        <w:rPr>
          <w:b/>
        </w:rPr>
        <w:t xml:space="preserve">Figure S2</w:t>
      </w:r>
      <w:r>
        <w:t xml:space="preserve">. Drought severity in the Sierra Nevada for the 1901-2016 period based on the Standardised Precipitation-Evapotranspiration Index (SPEI). Data from Global SPEI database (</w:t>
      </w:r>
      <w:hyperlink r:id="rId38">
        <w:r>
          <w:rPr>
            <w:rStyle w:val="Hipervnculo"/>
          </w:rPr>
          <w:t xml:space="preserve">http://spei.csic.es/database.html</w:t>
        </w:r>
      </w:hyperlink>
      <w:r>
        <w:t xml:space="preserve">). We obtanied the SPEI data for a 12 month scale and for all 0.5º grid cells covering Sierra Nevada. Horizontal gray bars indicate 2005 and 2012 year.</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1900-1.png" id="0" name="Picture"/>
                    <pic:cNvPicPr>
                      <a:picLocks noChangeArrowheads="1" noChangeAspect="1"/>
                    </pic:cNvPicPr>
                  </pic:nvPicPr>
                  <pic:blipFill>
                    <a:blip r:embed="rId39"/>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0" w:name="section-9"/>
      <w:bookmarkEnd w:id="40"/>
    </w:p>
    <w:p>
      <w:pPr>
        <w:pStyle w:val="FirstParagraph"/>
      </w:pPr>
      <w:r>
        <w:rPr>
          <w:b/>
        </w:rPr>
        <w:t xml:space="preserve">Figure S3.</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severe drought years identified in our climatic data (Table S3 and Figure S1).</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69-1.png" id="0" name="Picture"/>
                    <pic:cNvPicPr>
                      <a:picLocks noChangeArrowheads="1" noChangeAspect="1"/>
                    </pic:cNvPicPr>
                  </pic:nvPicPr>
                  <pic:blipFill>
                    <a:blip r:embed="rId41"/>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2" w:name="section-10"/>
      <w:bookmarkEnd w:id="42"/>
    </w:p>
    <w:p>
      <w:pPr>
        <w:pStyle w:val="FirstParagraph"/>
      </w:pPr>
      <w:r>
        <w:rPr>
          <w:b/>
        </w:rPr>
        <w:t xml:space="preserve">Figure S4.</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 Data for number of trees &gt; 2 is shown.</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73-1.png" id="0" name="Picture"/>
                    <pic:cNvPicPr>
                      <a:picLocks noChangeArrowheads="1" noChangeAspect="1"/>
                    </pic:cNvPicPr>
                  </pic:nvPicPr>
                  <pic:blipFill>
                    <a:blip r:embed="rId43"/>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4" w:name="section-11"/>
      <w:bookmarkEnd w:id="44"/>
    </w:p>
    <w:p>
      <w:pPr>
        <w:pStyle w:val="FirstParagraph"/>
      </w:pPr>
      <w:r>
        <w:rPr>
          <w:b/>
        </w:rPr>
        <w:t xml:space="preserve">Figure S5.</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 Top plots (a, b and c) showing the resilience indices of greenness (EVI) to drought; and bottom plots (d, e, f) the resilience indices of tree-growth (BAI) to drought.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79-1.png" id="0" name="Picture"/>
                    <pic:cNvPicPr>
                      <a:picLocks noChangeArrowheads="1" noChangeAspect="1"/>
                    </pic:cNvPicPr>
                  </pic:nvPicPr>
                  <pic:blipFill>
                    <a:blip r:embed="rId45"/>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6" w:name="section-12"/>
      <w:bookmarkEnd w:id="46"/>
    </w:p>
    <w:p>
      <w:pPr>
        <w:pStyle w:val="FirstParagraph"/>
      </w:pPr>
      <w:r>
        <w:rPr>
          <w:b/>
        </w:rPr>
        <w:t xml:space="preserve">Figure S6.</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 </w:t>
      </w:r>
      <w:r>
        <w:t xml:space="preserve">(Canty and Ripley 2016)</w:t>
      </w:r>
      <w:r>
        <w:t xml:space="preserve">.</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84-1.png" id="0" name="Picture"/>
                    <pic:cNvPicPr>
                      <a:picLocks noChangeArrowheads="1" noChangeAspect="1"/>
                    </pic:cNvPicPr>
                  </pic:nvPicPr>
                  <pic:blipFill>
                    <a:blip r:embed="rId47"/>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8" w:name="section-13"/>
      <w:bookmarkEnd w:id="48"/>
    </w:p>
    <w:p>
      <w:pPr>
        <w:pStyle w:val="FirstParagraph"/>
      </w:pPr>
      <w:r>
        <w:rPr>
          <w:b/>
        </w:rPr>
        <w:t xml:space="preserve">Figure S7.</w:t>
      </w:r>
      <w:r>
        <w:t xml:space="preserve"> </w:t>
      </w:r>
      <w:r>
        <w:t xml:space="preserve">EVI annual profile (average of the period 2000-2016) for</w:t>
      </w:r>
      <w:r>
        <w:t xml:space="preserve"> </w:t>
      </w:r>
      <w:r>
        <w:rPr>
          <w:i/>
        </w:rPr>
        <w:t xml:space="preserve">Q. pyrenaica</w:t>
      </w:r>
      <w:r>
        <w:t xml:space="preserve"> </w:t>
      </w:r>
      <w:r>
        <w:t xml:space="preserve">forests in Sierra Nevada and drought events. Horizontal bars correspond to the most severe droughts for Sierra Nevada since 1900 (computed as in Table S3). Their position indicate the start and end months of each drought event. Bars length show the duration of the drought event (number of consecutive months with SPEI lower than -1.28, see</w:t>
      </w:r>
      <w:r>
        <w:t xml:space="preserve"> </w:t>
      </w:r>
      <w:r>
        <w:t xml:space="preserve">(Páscoa et al. 2017)</w:t>
      </w:r>
      <w:r>
        <w:t xml:space="preserve">).</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88-1.png" id="0" name="Picture"/>
                    <pic:cNvPicPr>
                      <a:picLocks noChangeArrowheads="1" noChangeAspect="1"/>
                    </pic:cNvPicPr>
                  </pic:nvPicPr>
                  <pic:blipFill>
                    <a:blip r:embed="rId49"/>
                    <a:stretch>
                      <a:fillRect/>
                    </a:stretch>
                  </pic:blipFill>
                  <pic:spPr bwMode="auto">
                    <a:xfrm>
                      <a:off x="0" y="0"/>
                      <a:ext cx="6324600" cy="6324600"/>
                    </a:xfrm>
                    <a:prstGeom prst="rect">
                      <a:avLst/>
                    </a:prstGeom>
                    <a:noFill/>
                    <a:ln w="9525">
                      <a:noFill/>
                      <a:headEnd/>
                      <a:tailEnd/>
                    </a:ln>
                  </pic:spPr>
                </pic:pic>
              </a:graphicData>
            </a:graphic>
          </wp:inline>
        </w:drawing>
      </w:r>
    </w:p>
    <w:bookmarkStart w:id="55" w:name="refs"/>
    <w:bookmarkStart w:id="50" w:name="ref-Canty2016"/>
    <w:p>
      <w:pPr>
        <w:pStyle w:val="Bibliografa"/>
      </w:pPr>
      <w:r>
        <w:t xml:space="preserve">Canty, A., and B. D. Ripley. 2016. Boot: Bootstrap r (s-plus) functions.</w:t>
      </w:r>
    </w:p>
    <w:bookmarkEnd w:id="50"/>
    <w:bookmarkStart w:id="51" w:name="ref-IECA2009"/>
    <w:p>
      <w:pPr>
        <w:pStyle w:val="Bibliografa"/>
      </w:pPr>
      <w:r>
        <w:t xml:space="preserve">IECA, I. de E. y C. de A. 2009. Digital colour orthophotograph of andalusia 2008-2009. Sevilla. Regional Government of Andalusia.</w:t>
      </w:r>
    </w:p>
    <w:bookmarkEnd w:id="51"/>
    <w:bookmarkStart w:id="52" w:name="ref-Nowacki1997"/>
    <w:p>
      <w:pPr>
        <w:pStyle w:val="Bibliografa"/>
      </w:pPr>
      <w:r>
        <w:t xml:space="preserve">Nowacki, G. J., and M. D. Abrams. 1997. Radial-growth averaging criteria for reconstructing disturbance histories from presettlement-origing oaks. Ecological Monographs 67:225–249.</w:t>
      </w:r>
    </w:p>
    <w:bookmarkEnd w:id="52"/>
    <w:bookmarkStart w:id="53" w:name="ref-Pascoa2017"/>
    <w:p>
      <w:pPr>
        <w:pStyle w:val="Bibliografa"/>
      </w:pPr>
      <w:r>
        <w:t xml:space="preserve">Páscoa, P., C. Gouveia, A. Russo, and R. Trigo. 2017. Drought trends in the Iberian Peninsula over the last 112 years. Advances in Meteorology:ID4653126.</w:t>
      </w:r>
    </w:p>
    <w:bookmarkEnd w:id="53"/>
    <w:bookmarkStart w:id="54"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54"/>
    <w:bookmarkEnd w:id="55"/>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hyperlink" Id="rId38"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8"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2019-06-13T16:35:05Z</dcterms:created>
  <dcterms:modified xsi:type="dcterms:W3CDTF">2019-06-13T16:35:05Z</dcterms:modified>
</cp:coreProperties>
</file>

<file path=docProps/custom.xml><?xml version="1.0" encoding="utf-8"?>
<Properties xmlns="http://schemas.openxmlformats.org/officeDocument/2006/custom-properties" xmlns:vt="http://schemas.openxmlformats.org/officeDocument/2006/docPropsVTypes"/>
</file>